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007" w:rsidRDefault="00491007" w:rsidP="00491007">
      <w:pPr>
        <w:rPr>
          <w:rFonts w:cstheme="minorHAnsi"/>
          <w:b/>
          <w:bCs/>
          <w:color w:val="C00000"/>
          <w:sz w:val="36"/>
          <w:szCs w:val="36"/>
        </w:rPr>
      </w:pPr>
      <w:r>
        <w:rPr>
          <w:noProof/>
        </w:rPr>
        <w:drawing>
          <wp:anchor distT="0" distB="0" distL="114300" distR="114300" simplePos="0" relativeHeight="251658240" behindDoc="1" locked="0" layoutInCell="1" allowOverlap="1">
            <wp:simplePos x="0" y="0"/>
            <wp:positionH relativeFrom="column">
              <wp:posOffset>3573145</wp:posOffset>
            </wp:positionH>
            <wp:positionV relativeFrom="paragraph">
              <wp:posOffset>-389255</wp:posOffset>
            </wp:positionV>
            <wp:extent cx="2430780" cy="791210"/>
            <wp:effectExtent l="0" t="0" r="762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780" cy="7912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color w:val="C00000"/>
          <w:sz w:val="36"/>
          <w:szCs w:val="36"/>
        </w:rPr>
        <w:t>Der AMV informiert:</w:t>
      </w:r>
      <w:r>
        <w:t xml:space="preserve"> </w:t>
      </w:r>
    </w:p>
    <w:p w:rsidR="00491007" w:rsidRDefault="00491007" w:rsidP="00491007">
      <w:pPr>
        <w:rPr>
          <w:rFonts w:cstheme="minorHAnsi"/>
          <w:b/>
          <w:bCs/>
          <w:color w:val="1F3864" w:themeColor="accent1" w:themeShade="80"/>
          <w:sz w:val="32"/>
          <w:szCs w:val="32"/>
        </w:rPr>
      </w:pPr>
      <w:r>
        <w:rPr>
          <w:rFonts w:cstheme="minorHAnsi"/>
          <w:b/>
          <w:bCs/>
          <w:color w:val="1F3864" w:themeColor="accent1" w:themeShade="80"/>
          <w:sz w:val="32"/>
          <w:szCs w:val="32"/>
        </w:rPr>
        <w:t>0</w:t>
      </w:r>
      <w:r w:rsidR="00107AD0">
        <w:rPr>
          <w:rFonts w:cstheme="minorHAnsi"/>
          <w:b/>
          <w:bCs/>
          <w:color w:val="1F3864" w:themeColor="accent1" w:themeShade="80"/>
          <w:sz w:val="32"/>
          <w:szCs w:val="32"/>
        </w:rPr>
        <w:t>9</w:t>
      </w:r>
      <w:r>
        <w:rPr>
          <w:rFonts w:cstheme="minorHAnsi"/>
          <w:b/>
          <w:bCs/>
          <w:color w:val="1F3864" w:themeColor="accent1" w:themeShade="80"/>
          <w:sz w:val="32"/>
          <w:szCs w:val="32"/>
        </w:rPr>
        <w:t>. Juli 2020</w:t>
      </w:r>
    </w:p>
    <w:p w:rsidR="00491007" w:rsidRDefault="00491007" w:rsidP="00491007">
      <w:pPr>
        <w:rPr>
          <w:rFonts w:cstheme="minorHAnsi"/>
          <w:b/>
          <w:bCs/>
          <w:color w:val="C00000"/>
          <w:sz w:val="40"/>
          <w:szCs w:val="40"/>
        </w:rPr>
      </w:pPr>
      <w:r>
        <w:rPr>
          <w:rFonts w:cstheme="minorHAnsi"/>
          <w:b/>
          <w:bCs/>
          <w:color w:val="C00000"/>
          <w:sz w:val="40"/>
          <w:szCs w:val="40"/>
        </w:rPr>
        <w:t>Aktuelles aus der Ernährungswirtschaft</w:t>
      </w:r>
    </w:p>
    <w:p w:rsidR="00491007" w:rsidRDefault="00491007" w:rsidP="00491007">
      <w:pPr>
        <w:rPr>
          <w:rFonts w:cstheme="minorHAnsi"/>
          <w:sz w:val="24"/>
          <w:szCs w:val="24"/>
        </w:rPr>
      </w:pPr>
    </w:p>
    <w:p w:rsidR="00491007" w:rsidRDefault="00491007" w:rsidP="00491007">
      <w:pPr>
        <w:rPr>
          <w:rFonts w:cstheme="minorHAnsi"/>
          <w:sz w:val="24"/>
          <w:szCs w:val="24"/>
        </w:rPr>
      </w:pPr>
      <w:r>
        <w:rPr>
          <w:rFonts w:cstheme="minorHAnsi"/>
          <w:sz w:val="24"/>
          <w:szCs w:val="24"/>
        </w:rPr>
        <w:t xml:space="preserve">Liebe Unternehmerinnen, liebe Unternehmer, liebe Geschäftsführerinnen, liebe Geschäftsführer, </w:t>
      </w:r>
    </w:p>
    <w:p w:rsidR="00491007" w:rsidRDefault="00491007" w:rsidP="00491007">
      <w:pPr>
        <w:rPr>
          <w:rFonts w:cstheme="minorHAnsi"/>
          <w:b/>
          <w:bCs/>
          <w:color w:val="1F4E79" w:themeColor="accent5" w:themeShade="80"/>
          <w:sz w:val="32"/>
          <w:szCs w:val="32"/>
        </w:rPr>
      </w:pPr>
      <w:r>
        <w:rPr>
          <w:rFonts w:cstheme="minorHAnsi"/>
          <w:b/>
          <w:bCs/>
          <w:color w:val="1F4E79" w:themeColor="accent5" w:themeShade="80"/>
          <w:sz w:val="32"/>
          <w:szCs w:val="32"/>
        </w:rPr>
        <w:t>Was gibt es Neues?</w:t>
      </w:r>
    </w:p>
    <w:p w:rsidR="00107AD0" w:rsidRDefault="00107AD0" w:rsidP="00491007">
      <w:pPr>
        <w:shd w:val="clear" w:color="auto" w:fill="FFFFFF"/>
        <w:spacing w:after="75" w:line="240" w:lineRule="auto"/>
        <w:outlineLvl w:val="1"/>
        <w:rPr>
          <w:rFonts w:eastAsia="Times New Roman" w:cstheme="minorHAnsi"/>
          <w:b/>
          <w:bCs/>
          <w:color w:val="538135" w:themeColor="accent6" w:themeShade="BF"/>
          <w:kern w:val="36"/>
          <w:sz w:val="32"/>
          <w:szCs w:val="32"/>
          <w:lang w:eastAsia="de-DE"/>
        </w:rPr>
      </w:pPr>
      <w:r w:rsidRPr="00107AD0">
        <w:rPr>
          <w:rFonts w:eastAsia="Times New Roman" w:cstheme="minorHAnsi"/>
          <w:b/>
          <w:bCs/>
          <w:color w:val="538135" w:themeColor="accent6" w:themeShade="BF"/>
          <w:kern w:val="36"/>
          <w:sz w:val="32"/>
          <w:szCs w:val="32"/>
          <w:lang w:eastAsia="de-DE"/>
        </w:rPr>
        <w:t xml:space="preserve">Corona-Überbrückungshilfe des Bundes startet – Land ergänzt mit zusätzlicher Unterstützung </w:t>
      </w:r>
    </w:p>
    <w:p w:rsidR="00491007" w:rsidRDefault="00107AD0" w:rsidP="00491007">
      <w:pPr>
        <w:rPr>
          <w:rFonts w:eastAsia="Times New Roman" w:cstheme="minorHAnsi"/>
          <w:sz w:val="24"/>
          <w:szCs w:val="24"/>
          <w:lang w:eastAsia="de-DE"/>
        </w:rPr>
      </w:pPr>
      <w:r w:rsidRPr="00107AD0">
        <w:rPr>
          <w:rFonts w:eastAsia="Times New Roman" w:cstheme="minorHAnsi"/>
          <w:sz w:val="24"/>
          <w:szCs w:val="24"/>
          <w:lang w:eastAsia="de-DE"/>
        </w:rPr>
        <w:t>Das Land wird den Unternehmen ergänzend zu den Bundeshilfen weitere Unterstützung anbieten. Das wird aus dem MV-Schutzfonds finanziert. Bis zu 22 Millionen Euro stehen für heimische Unternehmen zur Verfügung</w:t>
      </w:r>
      <w:r>
        <w:rPr>
          <w:rFonts w:eastAsia="Times New Roman" w:cstheme="minorHAnsi"/>
          <w:sz w:val="24"/>
          <w:szCs w:val="24"/>
          <w:lang w:eastAsia="de-DE"/>
        </w:rPr>
        <w:t>.</w:t>
      </w:r>
    </w:p>
    <w:p w:rsidR="0095719B" w:rsidRDefault="0095719B" w:rsidP="0095719B">
      <w:pPr>
        <w:spacing w:after="0"/>
        <w:rPr>
          <w:rFonts w:cstheme="minorHAnsi"/>
          <w:b/>
          <w:bCs/>
          <w:color w:val="1F3864" w:themeColor="accent1" w:themeShade="80"/>
          <w:sz w:val="24"/>
          <w:szCs w:val="24"/>
        </w:rPr>
      </w:pPr>
    </w:p>
    <w:p w:rsidR="00192D32" w:rsidRDefault="00491007" w:rsidP="00491007">
      <w:pPr>
        <w:shd w:val="clear" w:color="auto" w:fill="FFFFFF"/>
        <w:spacing w:after="75" w:line="240" w:lineRule="auto"/>
        <w:outlineLvl w:val="1"/>
        <w:rPr>
          <w:rFonts w:eastAsia="Times New Roman" w:cstheme="minorHAnsi"/>
          <w:b/>
          <w:bCs/>
          <w:color w:val="538135" w:themeColor="accent6" w:themeShade="BF"/>
          <w:sz w:val="24"/>
          <w:szCs w:val="24"/>
          <w:lang w:eastAsia="de-DE"/>
        </w:rPr>
      </w:pPr>
      <w:r>
        <w:rPr>
          <w:rFonts w:eastAsia="Times New Roman" w:cstheme="minorHAnsi"/>
          <w:b/>
          <w:bCs/>
          <w:color w:val="538135" w:themeColor="accent6" w:themeShade="BF"/>
          <w:sz w:val="24"/>
          <w:szCs w:val="24"/>
          <w:lang w:eastAsia="de-DE"/>
        </w:rPr>
        <w:t xml:space="preserve">Zum 10. Juli 2020 </w:t>
      </w:r>
      <w:r w:rsidR="0095719B">
        <w:rPr>
          <w:rFonts w:eastAsia="Times New Roman" w:cstheme="minorHAnsi"/>
          <w:b/>
          <w:bCs/>
          <w:color w:val="538135" w:themeColor="accent6" w:themeShade="BF"/>
          <w:sz w:val="24"/>
          <w:szCs w:val="24"/>
          <w:lang w:eastAsia="de-DE"/>
        </w:rPr>
        <w:t>startet das Bundesprogramm</w:t>
      </w:r>
    </w:p>
    <w:p w:rsidR="00491007" w:rsidRPr="00D41EDC" w:rsidRDefault="0095719B" w:rsidP="00491007">
      <w:pPr>
        <w:shd w:val="clear" w:color="auto" w:fill="FFFFFF"/>
        <w:spacing w:after="75" w:line="240" w:lineRule="auto"/>
        <w:outlineLvl w:val="1"/>
        <w:rPr>
          <w:rFonts w:eastAsia="Times New Roman" w:cstheme="minorHAnsi"/>
          <w:b/>
          <w:bCs/>
          <w:sz w:val="24"/>
          <w:szCs w:val="24"/>
          <w:lang w:eastAsia="de-DE"/>
        </w:rPr>
      </w:pPr>
      <w:r w:rsidRPr="00D41EDC">
        <w:rPr>
          <w:rFonts w:eastAsia="Times New Roman" w:cstheme="minorHAnsi"/>
          <w:b/>
          <w:bCs/>
          <w:sz w:val="24"/>
          <w:szCs w:val="24"/>
          <w:lang w:eastAsia="de-DE"/>
        </w:rPr>
        <w:t xml:space="preserve">Es richtet sich an Unternehmen, die weiterhin von einem erheblichen </w:t>
      </w:r>
      <w:proofErr w:type="spellStart"/>
      <w:r w:rsidRPr="00D41EDC">
        <w:rPr>
          <w:rFonts w:eastAsia="Times New Roman" w:cstheme="minorHAnsi"/>
          <w:b/>
          <w:bCs/>
          <w:sz w:val="24"/>
          <w:szCs w:val="24"/>
          <w:lang w:eastAsia="de-DE"/>
        </w:rPr>
        <w:t>coronabedingten</w:t>
      </w:r>
      <w:proofErr w:type="spellEnd"/>
      <w:r w:rsidRPr="00D41EDC">
        <w:rPr>
          <w:rFonts w:eastAsia="Times New Roman" w:cstheme="minorHAnsi"/>
          <w:b/>
          <w:bCs/>
          <w:sz w:val="24"/>
          <w:szCs w:val="24"/>
          <w:lang w:eastAsia="de-DE"/>
        </w:rPr>
        <w:t xml:space="preserve"> Umsatzausfall betroffen sind.</w:t>
      </w:r>
    </w:p>
    <w:p w:rsidR="0095719B" w:rsidRDefault="0095719B" w:rsidP="0095719B">
      <w:pPr>
        <w:shd w:val="clear" w:color="auto" w:fill="FFFFFF"/>
        <w:spacing w:before="240" w:after="270" w:line="240" w:lineRule="auto"/>
        <w:rPr>
          <w:rFonts w:eastAsia="Times New Roman" w:cstheme="minorHAnsi"/>
          <w:bCs/>
          <w:sz w:val="24"/>
          <w:szCs w:val="24"/>
          <w:bdr w:val="none" w:sz="0" w:space="0" w:color="auto" w:frame="1"/>
          <w:lang w:eastAsia="de-DE"/>
        </w:rPr>
      </w:pPr>
      <w:r w:rsidRPr="0095719B">
        <w:rPr>
          <w:rFonts w:eastAsia="Times New Roman" w:cstheme="minorHAnsi"/>
          <w:bCs/>
          <w:sz w:val="24"/>
          <w:szCs w:val="24"/>
          <w:bdr w:val="none" w:sz="0" w:space="0" w:color="auto" w:frame="1"/>
          <w:lang w:eastAsia="de-DE"/>
        </w:rPr>
        <w:t xml:space="preserve">Das Bundesprogramm sieht vor, dass Unternehmen Zuschüsse zu den fixen Betriebskosten beantragen können. Voraussetzung ist, dass in den Monaten Juni bis August 2020 der </w:t>
      </w:r>
      <w:proofErr w:type="spellStart"/>
      <w:r w:rsidRPr="0095719B">
        <w:rPr>
          <w:rFonts w:eastAsia="Times New Roman" w:cstheme="minorHAnsi"/>
          <w:bCs/>
          <w:sz w:val="24"/>
          <w:szCs w:val="24"/>
          <w:bdr w:val="none" w:sz="0" w:space="0" w:color="auto" w:frame="1"/>
          <w:lang w:eastAsia="de-DE"/>
        </w:rPr>
        <w:t>coronabedingte</w:t>
      </w:r>
      <w:proofErr w:type="spellEnd"/>
      <w:r w:rsidRPr="0095719B">
        <w:rPr>
          <w:rFonts w:eastAsia="Times New Roman" w:cstheme="minorHAnsi"/>
          <w:bCs/>
          <w:sz w:val="24"/>
          <w:szCs w:val="24"/>
          <w:bdr w:val="none" w:sz="0" w:space="0" w:color="auto" w:frame="1"/>
          <w:lang w:eastAsia="de-DE"/>
        </w:rPr>
        <w:t xml:space="preserve"> Umsatzausfall 40, 50 b</w:t>
      </w:r>
      <w:r>
        <w:rPr>
          <w:rFonts w:eastAsia="Times New Roman" w:cstheme="minorHAnsi"/>
          <w:bCs/>
          <w:sz w:val="24"/>
          <w:szCs w:val="24"/>
          <w:bdr w:val="none" w:sz="0" w:space="0" w:color="auto" w:frame="1"/>
          <w:lang w:eastAsia="de-DE"/>
        </w:rPr>
        <w:t>zw.</w:t>
      </w:r>
      <w:r w:rsidRPr="0095719B">
        <w:rPr>
          <w:rFonts w:eastAsia="Times New Roman" w:cstheme="minorHAnsi"/>
          <w:bCs/>
          <w:sz w:val="24"/>
          <w:szCs w:val="24"/>
          <w:bdr w:val="none" w:sz="0" w:space="0" w:color="auto" w:frame="1"/>
          <w:lang w:eastAsia="de-DE"/>
        </w:rPr>
        <w:t xml:space="preserve"> 80 Prozent betragen muss. Die Förderung wird auf die folgenden Maximalbeträge pro Monat gedeckelt: </w:t>
      </w:r>
    </w:p>
    <w:p w:rsidR="0095719B" w:rsidRDefault="0095719B" w:rsidP="0095719B">
      <w:pPr>
        <w:pStyle w:val="Listenabsatz"/>
        <w:numPr>
          <w:ilvl w:val="0"/>
          <w:numId w:val="2"/>
        </w:numPr>
        <w:shd w:val="clear" w:color="auto" w:fill="FFFFFF"/>
        <w:spacing w:before="240" w:after="270" w:line="240" w:lineRule="auto"/>
        <w:rPr>
          <w:rFonts w:eastAsia="Times New Roman" w:cstheme="minorHAnsi"/>
          <w:bCs/>
          <w:sz w:val="24"/>
          <w:szCs w:val="24"/>
          <w:bdr w:val="none" w:sz="0" w:space="0" w:color="auto" w:frame="1"/>
          <w:lang w:eastAsia="de-DE"/>
        </w:rPr>
      </w:pPr>
      <w:r w:rsidRPr="0095719B">
        <w:rPr>
          <w:rFonts w:eastAsia="Times New Roman" w:cstheme="minorHAnsi"/>
          <w:bCs/>
          <w:sz w:val="24"/>
          <w:szCs w:val="24"/>
          <w:bdr w:val="none" w:sz="0" w:space="0" w:color="auto" w:frame="1"/>
          <w:lang w:eastAsia="de-DE"/>
        </w:rPr>
        <w:t xml:space="preserve">Im Regelfall 3.000 Euro für Unternehmen mit bis zu 5 Beschäftigten, insgesamt somit maximal 9.000 Euro </w:t>
      </w:r>
    </w:p>
    <w:p w:rsidR="0095719B" w:rsidRDefault="0095719B" w:rsidP="0095719B">
      <w:pPr>
        <w:pStyle w:val="Listenabsatz"/>
        <w:numPr>
          <w:ilvl w:val="0"/>
          <w:numId w:val="2"/>
        </w:numPr>
        <w:shd w:val="clear" w:color="auto" w:fill="FFFFFF"/>
        <w:spacing w:before="240" w:after="270" w:line="240" w:lineRule="auto"/>
        <w:rPr>
          <w:rFonts w:eastAsia="Times New Roman" w:cstheme="minorHAnsi"/>
          <w:bCs/>
          <w:sz w:val="24"/>
          <w:szCs w:val="24"/>
          <w:bdr w:val="none" w:sz="0" w:space="0" w:color="auto" w:frame="1"/>
          <w:lang w:eastAsia="de-DE"/>
        </w:rPr>
      </w:pPr>
      <w:r w:rsidRPr="0095719B">
        <w:rPr>
          <w:rFonts w:eastAsia="Times New Roman" w:cstheme="minorHAnsi"/>
          <w:bCs/>
          <w:sz w:val="24"/>
          <w:szCs w:val="24"/>
          <w:bdr w:val="none" w:sz="0" w:space="0" w:color="auto" w:frame="1"/>
          <w:lang w:eastAsia="de-DE"/>
        </w:rPr>
        <w:t xml:space="preserve">Im Regelfall 5.000 Euro für Unternehmen mit bis zu 10 Beschäftigten, insgesamt somit maximal 15.000 Euro </w:t>
      </w:r>
    </w:p>
    <w:p w:rsidR="0095719B" w:rsidRPr="0095719B" w:rsidRDefault="0095719B" w:rsidP="00D41EDC">
      <w:pPr>
        <w:pStyle w:val="Listenabsatz"/>
        <w:numPr>
          <w:ilvl w:val="0"/>
          <w:numId w:val="2"/>
        </w:numPr>
        <w:shd w:val="clear" w:color="auto" w:fill="FFFFFF"/>
        <w:spacing w:before="240" w:after="270" w:line="240" w:lineRule="auto"/>
        <w:ind w:left="714" w:hanging="357"/>
        <w:rPr>
          <w:rFonts w:eastAsia="Times New Roman" w:cstheme="minorHAnsi"/>
          <w:bCs/>
          <w:sz w:val="24"/>
          <w:szCs w:val="24"/>
          <w:bdr w:val="none" w:sz="0" w:space="0" w:color="auto" w:frame="1"/>
          <w:lang w:eastAsia="de-DE"/>
        </w:rPr>
      </w:pPr>
      <w:r w:rsidRPr="0095719B">
        <w:rPr>
          <w:rFonts w:eastAsia="Times New Roman" w:cstheme="minorHAnsi"/>
          <w:bCs/>
          <w:sz w:val="24"/>
          <w:szCs w:val="24"/>
          <w:bdr w:val="none" w:sz="0" w:space="0" w:color="auto" w:frame="1"/>
          <w:lang w:eastAsia="de-DE"/>
        </w:rPr>
        <w:t xml:space="preserve">ansonsten 50.000 Euro, insgesamt somit maximal 150.000 Euro. </w:t>
      </w:r>
    </w:p>
    <w:p w:rsidR="0095719B" w:rsidRPr="0095719B" w:rsidRDefault="0095719B" w:rsidP="0095719B">
      <w:pPr>
        <w:shd w:val="clear" w:color="auto" w:fill="FFFFFF"/>
        <w:spacing w:before="240" w:after="270" w:line="240" w:lineRule="auto"/>
        <w:rPr>
          <w:rFonts w:eastAsia="Times New Roman" w:cstheme="minorHAnsi"/>
          <w:bCs/>
          <w:sz w:val="24"/>
          <w:szCs w:val="24"/>
          <w:bdr w:val="none" w:sz="0" w:space="0" w:color="auto" w:frame="1"/>
          <w:lang w:eastAsia="de-DE"/>
        </w:rPr>
      </w:pPr>
      <w:r w:rsidRPr="0095719B">
        <w:rPr>
          <w:rFonts w:eastAsia="Times New Roman" w:cstheme="minorHAnsi"/>
          <w:bCs/>
          <w:sz w:val="24"/>
          <w:szCs w:val="24"/>
          <w:bdr w:val="none" w:sz="0" w:space="0" w:color="auto" w:frame="1"/>
          <w:lang w:eastAsia="de-DE"/>
        </w:rPr>
        <w:t xml:space="preserve"> </w:t>
      </w:r>
      <w:r w:rsidRPr="0095719B">
        <w:rPr>
          <w:rFonts w:eastAsia="Times New Roman" w:cstheme="minorHAnsi"/>
          <w:bCs/>
          <w:sz w:val="24"/>
          <w:szCs w:val="24"/>
          <w:bdr w:val="none" w:sz="0" w:space="0" w:color="auto" w:frame="1"/>
          <w:lang w:eastAsia="de-DE"/>
        </w:rPr>
        <w:t>Förderfähig sind fortlaufende, im Förderzeitraum anfallende vertraglich begründete oder behördlich festgesetzte und nicht einseitig veränderbare betriebliche Fixkosten. Hierzu gehören insbesondere Mieten und Pachten, Zinsaufwendungen für Kredite und Finanzierungskostenanteile von Leasingraten, Ausgaben für Elektrizität, Wasser, Heizung, Reinigung und Hygienemaßnahmen, Versicherungen, Kosten für Auszubildende und die Kosten für den Steuerberater im Zusammenhang mit der Antragstellung. Alle weiteren Personalaufwendungen (mit Ausnahme der Kosten für Auszubildende) werden allerdings nur pauschal mit einem Aufschlag auf die Fixkosten in Höhe von 10 Prozent berücksichtigt.</w:t>
      </w:r>
    </w:p>
    <w:p w:rsidR="0095719B" w:rsidRPr="00D41EDC" w:rsidRDefault="00192D32" w:rsidP="0095719B">
      <w:pPr>
        <w:shd w:val="clear" w:color="auto" w:fill="FFFFFF"/>
        <w:spacing w:before="240" w:after="270" w:line="240" w:lineRule="auto"/>
        <w:rPr>
          <w:rFonts w:eastAsia="Times New Roman" w:cstheme="minorHAnsi"/>
          <w:b/>
          <w:bCs/>
          <w:color w:val="538135" w:themeColor="accent6" w:themeShade="BF"/>
          <w:sz w:val="24"/>
          <w:szCs w:val="24"/>
          <w:bdr w:val="none" w:sz="0" w:space="0" w:color="auto" w:frame="1"/>
          <w:lang w:eastAsia="de-DE"/>
        </w:rPr>
      </w:pPr>
      <w:r w:rsidRPr="00D41EDC">
        <w:rPr>
          <w:rFonts w:eastAsia="Times New Roman" w:cstheme="minorHAnsi"/>
          <w:b/>
          <w:bCs/>
          <w:color w:val="538135" w:themeColor="accent6" w:themeShade="BF"/>
          <w:sz w:val="24"/>
          <w:szCs w:val="24"/>
          <w:bdr w:val="none" w:sz="0" w:space="0" w:color="auto" w:frame="1"/>
          <w:lang w:eastAsia="de-DE"/>
        </w:rPr>
        <w:t>Land unterstützt Unternehmen zusätzlich bei anfallenden Personalkosten</w:t>
      </w:r>
    </w:p>
    <w:p w:rsidR="00D41EDC" w:rsidRDefault="00D41EDC" w:rsidP="0095719B">
      <w:pPr>
        <w:shd w:val="clear" w:color="auto" w:fill="FFFFFF"/>
        <w:spacing w:before="240" w:after="270" w:line="240" w:lineRule="auto"/>
        <w:rPr>
          <w:rFonts w:eastAsia="Times New Roman" w:cstheme="minorHAnsi"/>
          <w:bCs/>
          <w:sz w:val="24"/>
          <w:szCs w:val="24"/>
          <w:bdr w:val="none" w:sz="0" w:space="0" w:color="auto" w:frame="1"/>
          <w:lang w:eastAsia="de-DE"/>
        </w:rPr>
      </w:pPr>
      <w:r w:rsidRPr="00D41EDC">
        <w:rPr>
          <w:rFonts w:eastAsia="Times New Roman" w:cstheme="minorHAnsi"/>
          <w:bCs/>
          <w:sz w:val="24"/>
          <w:szCs w:val="24"/>
          <w:bdr w:val="none" w:sz="0" w:space="0" w:color="auto" w:frame="1"/>
          <w:lang w:eastAsia="de-DE"/>
        </w:rPr>
        <w:t xml:space="preserve">Das Land Mecklenburg-Vorpommern ergänzt die Überbrückungshilfe des Bundes mit monatlichen Festbeträgen für die Personalaufwendungen, die nicht durch Kurzarbeitergeld </w:t>
      </w:r>
      <w:r w:rsidRPr="00D41EDC">
        <w:rPr>
          <w:rFonts w:eastAsia="Times New Roman" w:cstheme="minorHAnsi"/>
          <w:bCs/>
          <w:sz w:val="24"/>
          <w:szCs w:val="24"/>
          <w:bdr w:val="none" w:sz="0" w:space="0" w:color="auto" w:frame="1"/>
          <w:lang w:eastAsia="de-DE"/>
        </w:rPr>
        <w:lastRenderedPageBreak/>
        <w:t xml:space="preserve">abgedeckt sind, für die Mitarbeiter, die ihren Beschäftigungsort in Mecklenburg-Vorpommern haben, in der Höhe von monatlich </w:t>
      </w:r>
    </w:p>
    <w:p w:rsidR="00D41EDC" w:rsidRPr="00D41EDC" w:rsidRDefault="00D41EDC" w:rsidP="00D41EDC">
      <w:pPr>
        <w:pStyle w:val="Listenabsatz"/>
        <w:numPr>
          <w:ilvl w:val="0"/>
          <w:numId w:val="2"/>
        </w:numPr>
        <w:shd w:val="clear" w:color="auto" w:fill="FFFFFF"/>
        <w:spacing w:before="240" w:after="0" w:line="240" w:lineRule="auto"/>
        <w:rPr>
          <w:rFonts w:eastAsia="Times New Roman" w:cstheme="minorHAnsi"/>
          <w:bCs/>
          <w:sz w:val="24"/>
          <w:szCs w:val="24"/>
          <w:bdr w:val="none" w:sz="0" w:space="0" w:color="auto" w:frame="1"/>
          <w:lang w:eastAsia="de-DE"/>
        </w:rPr>
      </w:pPr>
      <w:r w:rsidRPr="00D41EDC">
        <w:rPr>
          <w:rFonts w:eastAsia="Times New Roman" w:cstheme="minorHAnsi"/>
          <w:bCs/>
          <w:sz w:val="24"/>
          <w:szCs w:val="24"/>
          <w:bdr w:val="none" w:sz="0" w:space="0" w:color="auto" w:frame="1"/>
          <w:lang w:eastAsia="de-DE"/>
        </w:rPr>
        <w:t xml:space="preserve">1.000 Euro pro Vollzeitäquivalent bei mehr als 70 Prozent Umsatzrückgang  </w:t>
      </w:r>
    </w:p>
    <w:p w:rsidR="00D41EDC" w:rsidRPr="00D41EDC" w:rsidRDefault="00D41EDC" w:rsidP="00D41EDC">
      <w:pPr>
        <w:pStyle w:val="Listenabsatz"/>
        <w:numPr>
          <w:ilvl w:val="0"/>
          <w:numId w:val="2"/>
        </w:numPr>
        <w:shd w:val="clear" w:color="auto" w:fill="FFFFFF"/>
        <w:spacing w:after="0" w:line="240" w:lineRule="auto"/>
        <w:rPr>
          <w:rFonts w:eastAsia="Times New Roman" w:cstheme="minorHAnsi"/>
          <w:bCs/>
          <w:sz w:val="24"/>
          <w:szCs w:val="24"/>
          <w:bdr w:val="none" w:sz="0" w:space="0" w:color="auto" w:frame="1"/>
          <w:lang w:eastAsia="de-DE"/>
        </w:rPr>
      </w:pPr>
      <w:r w:rsidRPr="00D41EDC">
        <w:rPr>
          <w:rFonts w:eastAsia="Times New Roman" w:cstheme="minorHAnsi"/>
          <w:bCs/>
          <w:sz w:val="24"/>
          <w:szCs w:val="24"/>
          <w:bdr w:val="none" w:sz="0" w:space="0" w:color="auto" w:frame="1"/>
          <w:lang w:eastAsia="de-DE"/>
        </w:rPr>
        <w:t xml:space="preserve">700 Euro pro Vollzeitäquivalent bei einem Umsatzrückgang von 50 bis 70 Prozent  </w:t>
      </w:r>
    </w:p>
    <w:p w:rsidR="00D41EDC" w:rsidRPr="00D41EDC" w:rsidRDefault="00D41EDC" w:rsidP="00D41EDC">
      <w:pPr>
        <w:pStyle w:val="Listenabsatz"/>
        <w:numPr>
          <w:ilvl w:val="0"/>
          <w:numId w:val="2"/>
        </w:numPr>
        <w:shd w:val="clear" w:color="auto" w:fill="FFFFFF"/>
        <w:spacing w:after="270" w:line="240" w:lineRule="auto"/>
        <w:rPr>
          <w:rFonts w:eastAsia="Times New Roman" w:cstheme="minorHAnsi"/>
          <w:bCs/>
          <w:sz w:val="24"/>
          <w:szCs w:val="24"/>
          <w:bdr w:val="none" w:sz="0" w:space="0" w:color="auto" w:frame="1"/>
          <w:lang w:eastAsia="de-DE"/>
        </w:rPr>
      </w:pPr>
      <w:r w:rsidRPr="00D41EDC">
        <w:rPr>
          <w:rFonts w:eastAsia="Times New Roman" w:cstheme="minorHAnsi"/>
          <w:bCs/>
          <w:sz w:val="24"/>
          <w:szCs w:val="24"/>
          <w:bdr w:val="none" w:sz="0" w:space="0" w:color="auto" w:frame="1"/>
          <w:lang w:eastAsia="de-DE"/>
        </w:rPr>
        <w:t xml:space="preserve">600 Euro pro Vollzeitäquivalent bei einem Umsatzrückgang von 40 bis unter 50 Prozent.  </w:t>
      </w:r>
    </w:p>
    <w:p w:rsidR="0095719B" w:rsidRDefault="00D41EDC" w:rsidP="00D41EDC">
      <w:pPr>
        <w:shd w:val="clear" w:color="auto" w:fill="FFFFFF"/>
        <w:spacing w:after="270" w:line="240" w:lineRule="auto"/>
        <w:rPr>
          <w:rFonts w:eastAsia="Times New Roman" w:cstheme="minorHAnsi"/>
          <w:bCs/>
          <w:sz w:val="24"/>
          <w:szCs w:val="24"/>
          <w:bdr w:val="none" w:sz="0" w:space="0" w:color="auto" w:frame="1"/>
          <w:lang w:eastAsia="de-DE"/>
        </w:rPr>
      </w:pPr>
      <w:r w:rsidRPr="00D41EDC">
        <w:rPr>
          <w:rFonts w:eastAsia="Times New Roman" w:cstheme="minorHAnsi"/>
          <w:bCs/>
          <w:sz w:val="24"/>
          <w:szCs w:val="24"/>
          <w:bdr w:val="none" w:sz="0" w:space="0" w:color="auto" w:frame="1"/>
          <w:lang w:eastAsia="de-DE"/>
        </w:rPr>
        <w:t>Dabei werden die Personalkosten für Beschäftigte, die teilweise noch in Kurzarbeit sind, anteilig berücksichtigt. Die Beantragung erfolgt zusammen mit dem Antrag auf Überbrückungshilfe des Bundes durch den Steuerberater/Wirtschaftsprüfer beim Landesförderinstitut (LFI).</w:t>
      </w:r>
    </w:p>
    <w:p w:rsidR="00D41EDC" w:rsidRDefault="00D41EDC" w:rsidP="00D41EDC">
      <w:pPr>
        <w:shd w:val="clear" w:color="auto" w:fill="FFFFFF"/>
        <w:spacing w:after="270" w:line="240" w:lineRule="auto"/>
        <w:rPr>
          <w:rFonts w:eastAsia="Times New Roman" w:cstheme="minorHAnsi"/>
          <w:bCs/>
          <w:sz w:val="24"/>
          <w:szCs w:val="24"/>
          <w:bdr w:val="none" w:sz="0" w:space="0" w:color="auto" w:frame="1"/>
          <w:lang w:eastAsia="de-DE"/>
        </w:rPr>
      </w:pPr>
      <w:r w:rsidRPr="00D41EDC">
        <w:rPr>
          <w:rFonts w:eastAsia="Times New Roman" w:cstheme="minorHAnsi"/>
          <w:bCs/>
          <w:sz w:val="24"/>
          <w:szCs w:val="24"/>
          <w:bdr w:val="none" w:sz="0" w:space="0" w:color="auto" w:frame="1"/>
          <w:lang w:eastAsia="de-DE"/>
        </w:rPr>
        <w:t xml:space="preserve">Die </w:t>
      </w:r>
      <w:r w:rsidRPr="00D41EDC">
        <w:rPr>
          <w:rFonts w:eastAsia="Times New Roman" w:cstheme="minorHAnsi"/>
          <w:b/>
          <w:bCs/>
          <w:sz w:val="24"/>
          <w:szCs w:val="24"/>
          <w:bdr w:val="none" w:sz="0" w:space="0" w:color="auto" w:frame="1"/>
          <w:lang w:eastAsia="de-DE"/>
        </w:rPr>
        <w:t>Anträge</w:t>
      </w:r>
      <w:r w:rsidRPr="00D41EDC">
        <w:rPr>
          <w:rFonts w:eastAsia="Times New Roman" w:cstheme="minorHAnsi"/>
          <w:bCs/>
          <w:sz w:val="24"/>
          <w:szCs w:val="24"/>
          <w:bdr w:val="none" w:sz="0" w:space="0" w:color="auto" w:frame="1"/>
          <w:lang w:eastAsia="de-DE"/>
        </w:rPr>
        <w:t xml:space="preserve"> können ohne Einschränkung auch noch </w:t>
      </w:r>
      <w:r w:rsidRPr="00D41EDC">
        <w:rPr>
          <w:rFonts w:eastAsia="Times New Roman" w:cstheme="minorHAnsi"/>
          <w:b/>
          <w:bCs/>
          <w:sz w:val="24"/>
          <w:szCs w:val="24"/>
          <w:bdr w:val="none" w:sz="0" w:space="0" w:color="auto" w:frame="1"/>
          <w:lang w:eastAsia="de-DE"/>
        </w:rPr>
        <w:t>bis Ende August rückwirkend</w:t>
      </w:r>
      <w:r w:rsidRPr="00D41EDC">
        <w:rPr>
          <w:rFonts w:eastAsia="Times New Roman" w:cstheme="minorHAnsi"/>
          <w:bCs/>
          <w:sz w:val="24"/>
          <w:szCs w:val="24"/>
          <w:bdr w:val="none" w:sz="0" w:space="0" w:color="auto" w:frame="1"/>
          <w:lang w:eastAsia="de-DE"/>
        </w:rPr>
        <w:t xml:space="preserve"> gestellt werden.</w:t>
      </w:r>
    </w:p>
    <w:p w:rsidR="0095719B" w:rsidRDefault="0095719B" w:rsidP="0095719B">
      <w:pPr>
        <w:shd w:val="clear" w:color="auto" w:fill="FFFFFF"/>
        <w:spacing w:before="240" w:after="270" w:line="240" w:lineRule="auto"/>
        <w:rPr>
          <w:rFonts w:eastAsia="Times New Roman" w:cstheme="minorHAnsi"/>
          <w:bCs/>
          <w:sz w:val="24"/>
          <w:szCs w:val="24"/>
          <w:bdr w:val="none" w:sz="0" w:space="0" w:color="auto" w:frame="1"/>
          <w:lang w:eastAsia="de-DE"/>
        </w:rPr>
      </w:pPr>
      <w:bookmarkStart w:id="0" w:name="_GoBack"/>
      <w:bookmarkEnd w:id="0"/>
    </w:p>
    <w:p w:rsidR="00491007" w:rsidRDefault="00491007" w:rsidP="00491007">
      <w:pPr>
        <w:rPr>
          <w:rFonts w:cstheme="minorHAnsi"/>
          <w:b/>
          <w:bCs/>
          <w:sz w:val="24"/>
          <w:szCs w:val="24"/>
        </w:rPr>
      </w:pPr>
      <w:r>
        <w:rPr>
          <w:rFonts w:cstheme="minorHAnsi"/>
          <w:b/>
          <w:bCs/>
          <w:sz w:val="24"/>
          <w:szCs w:val="24"/>
        </w:rPr>
        <w:t xml:space="preserve">Der AMV bündelt alle relevanten Informationen der Ernährungsbranche betreffend auf unserer Homepage </w:t>
      </w:r>
      <w:hyperlink r:id="rId6" w:history="1">
        <w:r>
          <w:rPr>
            <w:rStyle w:val="Hyperlink"/>
            <w:rFonts w:cstheme="minorHAnsi"/>
            <w:b/>
            <w:bCs/>
            <w:sz w:val="24"/>
            <w:szCs w:val="24"/>
          </w:rPr>
          <w:t>www.mv-ernaehrung.de</w:t>
        </w:r>
      </w:hyperlink>
      <w:r>
        <w:rPr>
          <w:rFonts w:cstheme="minorHAnsi"/>
          <w:b/>
          <w:bCs/>
          <w:sz w:val="24"/>
          <w:szCs w:val="24"/>
        </w:rPr>
        <w:t xml:space="preserve"> </w:t>
      </w:r>
    </w:p>
    <w:p w:rsidR="00491007" w:rsidRDefault="00491007" w:rsidP="00491007">
      <w:pPr>
        <w:rPr>
          <w:rFonts w:cstheme="minorHAnsi"/>
          <w:sz w:val="24"/>
          <w:szCs w:val="24"/>
        </w:rPr>
      </w:pPr>
      <w:r>
        <w:rPr>
          <w:rFonts w:cstheme="minorHAnsi"/>
          <w:sz w:val="24"/>
          <w:szCs w:val="24"/>
        </w:rPr>
        <w:t>Bleiben Sie gesund!</w:t>
      </w:r>
    </w:p>
    <w:p w:rsidR="00491007" w:rsidRDefault="00491007" w:rsidP="00491007">
      <w:pPr>
        <w:rPr>
          <w:rFonts w:cstheme="minorHAnsi"/>
          <w:sz w:val="24"/>
          <w:szCs w:val="24"/>
        </w:rPr>
      </w:pPr>
    </w:p>
    <w:p w:rsidR="00491007" w:rsidRDefault="00491007" w:rsidP="00491007">
      <w:pPr>
        <w:rPr>
          <w:rFonts w:cstheme="minorHAnsi"/>
          <w:sz w:val="24"/>
          <w:szCs w:val="24"/>
        </w:rPr>
      </w:pPr>
      <w:r>
        <w:rPr>
          <w:rFonts w:cstheme="minorHAnsi"/>
          <w:sz w:val="24"/>
          <w:szCs w:val="24"/>
        </w:rPr>
        <w:t xml:space="preserve">Ihr AMV-Team </w:t>
      </w:r>
    </w:p>
    <w:p w:rsidR="00491007" w:rsidRDefault="00491007" w:rsidP="00491007">
      <w:pPr>
        <w:rPr>
          <w:rFonts w:cstheme="minorHAnsi"/>
          <w:sz w:val="24"/>
          <w:szCs w:val="24"/>
        </w:rPr>
      </w:pPr>
    </w:p>
    <w:p w:rsidR="00491007" w:rsidRDefault="00491007" w:rsidP="00491007">
      <w:pPr>
        <w:rPr>
          <w:rFonts w:cstheme="minorHAnsi"/>
          <w:sz w:val="24"/>
          <w:szCs w:val="24"/>
        </w:rPr>
      </w:pPr>
    </w:p>
    <w:p w:rsidR="00491007" w:rsidRDefault="00491007" w:rsidP="00491007">
      <w:pPr>
        <w:rPr>
          <w:rFonts w:cstheme="minorHAnsi"/>
          <w:sz w:val="24"/>
          <w:szCs w:val="24"/>
        </w:rPr>
      </w:pPr>
    </w:p>
    <w:p w:rsidR="00491007" w:rsidRDefault="00491007" w:rsidP="00491007">
      <w:pPr>
        <w:rPr>
          <w:rFonts w:cstheme="minorHAnsi"/>
          <w:sz w:val="24"/>
          <w:szCs w:val="24"/>
        </w:rPr>
      </w:pPr>
    </w:p>
    <w:p w:rsidR="00491007" w:rsidRDefault="00D41EDC" w:rsidP="00491007">
      <w:pPr>
        <w:rPr>
          <w:rFonts w:cstheme="minorHAnsi"/>
          <w:sz w:val="24"/>
          <w:szCs w:val="24"/>
        </w:rPr>
      </w:pPr>
      <w:hyperlink r:id="rId7" w:history="1">
        <w:r w:rsidR="00491007">
          <w:rPr>
            <w:rStyle w:val="Hyperlink"/>
            <w:rFonts w:cstheme="minorHAnsi"/>
            <w:sz w:val="24"/>
            <w:szCs w:val="24"/>
          </w:rPr>
          <w:t>www.mv-ernaehrung.de</w:t>
        </w:r>
      </w:hyperlink>
    </w:p>
    <w:p w:rsidR="00491007" w:rsidRDefault="00D41EDC" w:rsidP="00491007">
      <w:pPr>
        <w:rPr>
          <w:rFonts w:cstheme="minorHAnsi"/>
          <w:sz w:val="24"/>
          <w:szCs w:val="24"/>
        </w:rPr>
      </w:pPr>
      <w:hyperlink r:id="rId8" w:history="1">
        <w:r w:rsidR="00491007">
          <w:rPr>
            <w:rStyle w:val="Hyperlink"/>
            <w:rFonts w:cstheme="minorHAnsi"/>
            <w:sz w:val="24"/>
            <w:szCs w:val="24"/>
          </w:rPr>
          <w:t>info@mv-ernaehrung.de</w:t>
        </w:r>
      </w:hyperlink>
    </w:p>
    <w:p w:rsidR="008C7893" w:rsidRDefault="008C7893"/>
    <w:sectPr w:rsidR="008C78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F24"/>
    <w:multiLevelType w:val="hybridMultilevel"/>
    <w:tmpl w:val="41BAEEB2"/>
    <w:lvl w:ilvl="0" w:tplc="4ABA389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45447"/>
    <w:multiLevelType w:val="hybridMultilevel"/>
    <w:tmpl w:val="DE3AED64"/>
    <w:lvl w:ilvl="0" w:tplc="4ABA3896">
      <w:numFmt w:val="bullet"/>
      <w:lvlText w:val="-"/>
      <w:lvlJc w:val="left"/>
      <w:pPr>
        <w:ind w:left="1428" w:hanging="360"/>
      </w:pPr>
      <w:rPr>
        <w:rFonts w:ascii="Calibri" w:eastAsia="Times New Roman"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794D4011"/>
    <w:multiLevelType w:val="multilevel"/>
    <w:tmpl w:val="33EE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07"/>
    <w:rsid w:val="00107AD0"/>
    <w:rsid w:val="00192D32"/>
    <w:rsid w:val="00491007"/>
    <w:rsid w:val="008C7893"/>
    <w:rsid w:val="0095719B"/>
    <w:rsid w:val="00D41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282E"/>
  <w15:chartTrackingRefBased/>
  <w15:docId w15:val="{28A094CD-4590-4E5C-8FA5-5E04D908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1007"/>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91007"/>
    <w:rPr>
      <w:color w:val="0563C1" w:themeColor="hyperlink"/>
      <w:u w:val="single"/>
    </w:rPr>
  </w:style>
  <w:style w:type="paragraph" w:styleId="Listenabsatz">
    <w:name w:val="List Paragraph"/>
    <w:basedOn w:val="Standard"/>
    <w:uiPriority w:val="34"/>
    <w:qFormat/>
    <w:rsid w:val="0049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v-ernaehrung.de" TargetMode="External"/><Relationship Id="rId3" Type="http://schemas.openxmlformats.org/officeDocument/2006/relationships/settings" Target="settings.xml"/><Relationship Id="rId7" Type="http://schemas.openxmlformats.org/officeDocument/2006/relationships/hyperlink" Target="http://www.mv-ernaehr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ernaehrung.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Schur</dc:creator>
  <cp:keywords/>
  <dc:description/>
  <cp:lastModifiedBy>Renate Schur</cp:lastModifiedBy>
  <cp:revision>3</cp:revision>
  <dcterms:created xsi:type="dcterms:W3CDTF">2020-07-09T10:33:00Z</dcterms:created>
  <dcterms:modified xsi:type="dcterms:W3CDTF">2020-07-09T11:03:00Z</dcterms:modified>
</cp:coreProperties>
</file>